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关于编制2020-2021学年本科教学质量报告暨美育发展年度报告的通知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firstLine="80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各单位：</w:t>
      </w:r>
      <w:bookmarkStart w:id="61" w:name="_GoBack"/>
      <w:bookmarkEnd w:id="6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根据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《福建省教育厅办公室关于组织编制发布普通高等学校2021-2021学年本科教学质量报告的通知》（闽教办高[2021]11号文）等要求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，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现将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20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-202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学年本科教学质量报告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美育工作发展年度报告及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数据表（以下简称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两报告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表格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）的编制工作通知如下：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一、任务分解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请根据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“两报告两表格”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任务分解表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（详见附件）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的要求，分工协作，共同做好编制工作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二</w:t>
      </w:r>
      <w:r>
        <w:rPr>
          <w:rFonts w:hint="default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编制要求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1.本科教学质量报告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学校2020-2021学年《本科教学质量报告》相关数据应与近斯上报教育部的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0000FF"/>
          <w:sz w:val="28"/>
          <w:szCs w:val="28"/>
          <w:lang w:eastAsia="zh-CN"/>
        </w:rPr>
        <w:t>2021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年高等教育质量测量数据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一致，其中教学状态方向采用2020-2021学年数据，财务经费方面采用2020自然年度数据。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2.美育发展年度报告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美育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发展年度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报告的数据，一般截至到2021年12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三、材料要求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内容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要求。相比往年内容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应有所创新，做到图（照片、表格或柱状图等）文并茂，逻辑严密，表述清晰，不宜简单地替换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往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年的数据。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格式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要求。统一采用纸质版（加盖所在处室或二级学院的公章）报送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四</w:t>
      </w:r>
      <w:r>
        <w:rPr>
          <w:rFonts w:hint="default" w:ascii="黑体" w:hAnsi="黑体" w:eastAsia="黑体" w:cs="黑体"/>
          <w:color w:val="auto"/>
          <w:sz w:val="28"/>
          <w:szCs w:val="28"/>
          <w:lang w:eastAsia="zh-CN"/>
        </w:rPr>
        <w:t>、完成时限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各部门应于20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年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月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日前将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“两报告两表格”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的纸质文本（需部门盖章确认）报送教务处质量管理科（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行政楼306，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陈老师，15659073386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        </w:t>
      </w: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“两报告两表格”任务分解表（按部门顺序）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教学质量报告任务分解表（按报告顺序）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教学质量报告支撑数据表（按部门顺序）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4.美育工作发展年度报告任务分解（按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报告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顺序）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5.美育工作数据采集表任务分解（按部门）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教务处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eastAsia" w:eastAsia="仿宋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日  </w:t>
      </w: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default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“两报告两表格”任务分解表（按部门顺序）</w:t>
      </w:r>
    </w:p>
    <w:tbl>
      <w:tblPr>
        <w:tblStyle w:val="4"/>
        <w:tblW w:w="10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804"/>
        <w:gridCol w:w="2670"/>
        <w:gridCol w:w="2744"/>
        <w:gridCol w:w="2332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48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5414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本科教学质量报告</w:t>
            </w:r>
          </w:p>
        </w:tc>
        <w:tc>
          <w:tcPr>
            <w:tcW w:w="414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美育发展年度报告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jc w:val="center"/>
        </w:trPr>
        <w:tc>
          <w:tcPr>
            <w:tcW w:w="48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本科教学质量报告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质量报告数据表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美育报告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美育数据表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党政办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5.1学校人才培养中心地位落实情况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宣传部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4.1立德树人落实机制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5.5校园文化环境的营造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学工处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6.1学生学习满意度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6.3学生就业情况、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6.4用人单位对毕业生评价与毕业生成就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21应届本科生初次就业率、24用人单位对毕业生满意度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发规处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1.1本科人才培养目标及服务面向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6办学特色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3.2十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五规划中美育发展战略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3.4美育工作发展激励政策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外事办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3.8 对外合作办学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5.3.3.艺术教育内容与形式的拓展、丰富以及创新（含中外、闽台交流学习）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表9国内外公共美育相关交流活动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人事处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2.1师资队伍数量与结构（含生师比）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2教师数量及结构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4生师比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4.1美育师资队伍建设与水平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表4公共美育教育经费投入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教务处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1.2本科专业设置情况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1.3全日制在校生情况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1.4本科生源质量情况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2.2本科生主讲教师情况/教授承担本科课程情况、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3.1培养方案与专业建设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3.2课程建设与开课情况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3.3 教学改革与教材建设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3.4实践教学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3.6毕业论文（设计）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3.7学生创新创业教育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4.2应用型人才培养体系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4.3人才培养主要成效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5.2教学质量保障体系建设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5.3教学日常监控及运行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5.4本科教学基本状态主要数据、5.5专业评估与认证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6.2本科生毕业情况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1本科生占全日制在校生总数的比例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3当年本科招生专业总数、14全校开设课程总门数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15实践教学学分占总学分比例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16选修课学分占总学分比例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17主讲本科课程的教授占教授总数的比例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18教授授本科课程占课程总门次数的比例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19应届本科生毕业率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20应届本科生学位授予率、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23学生学习满意度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1.前言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2.美育工作发展概况及亮点工作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3.1人才培养目标定位中的美育规格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3.3美育质量保障机制体系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4.2.3美育网络资源、平台建设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5.1美育课程体系建设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5.2美育课堂教学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5.3.1.美育实践活动的课程化管理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5.4美育与其他学科的渗透与融合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表0基础信息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表1公共美育管理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表2公共美育选修课程开设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表3公共美育网络课程建设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表4公共美育教育经费投入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表5公共教学设施、表8重点美育活动参与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科研处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6.2美育科研教研数量及影响力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资产处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5均教学科研仪器设备值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6当年新增教学科研仪器设备值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后勤处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2.4教学用房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9.1生均教学行政用房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表4公共美育教育经费投入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财务处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2.3 教学经费投入情况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10生均本科教学日常运行支出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11本科专项教学经费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12生均本科实验经费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13生均本科实习经费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4.2.1美育教学经费投入及保障机制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表4公共美育教育经费投入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校团委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4.2.3美育网络资源、平台建设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5.3.2.美育实践基地建设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5.3.3.艺术教育内容与形式的拓展、丰富以及创新（含中外、闽台交流学习）、6.1重大活动及影响力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7.本校特色案例、特色举措、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8.存在问题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9.对策建议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表4公共美育教育经费投入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表5公共教学设施、表7公共美育活动举办情况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表8重点美育活动参与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表9国内外公共美育相关交流活动、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表10公共美育工作及建设成效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实验室管理中心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2.6实验室与设备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9.2生均实验室面积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图书馆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2.5图书资源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7生均图书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8电子图书、电子期刊总数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网络中心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2.7信息资源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文传学院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4.2.2美育教育教学资源建设及共享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7.本校特色案例、特色举措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8.存在问题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9.对策建议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表5公共教学设施、表10.公共美育工作及建设成效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教科学院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4.2.2美育教育教学资源建设及共享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7.本校特色案例、特色举措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8.存在问题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9.对策建议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表5公共教学设施、表10.公共美育工作及建设成效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音舞学院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4.2.2美育教育教学资源建设及共享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7.本校特色案例、特色举措、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8.存在问题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9.对策建议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表5公共教学设施、表10.公共美育工作及建设成效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美设学院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4.2.2美育教育教学资源建设及共享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7.本校特色案例、特色举措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8.存在问题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9.对策建议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表5公共教学设施、表10.公共美育工作及建设成效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8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0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3.5体育教育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22体质测试达标率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4.2.2美育教育教学资源建设及共享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7.本校特色案例、特色举措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表5公共教学设施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表10公共美育工作及建设成效</w:t>
            </w:r>
          </w:p>
        </w:tc>
      </w:tr>
    </w:tbl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教学质量报告任务分解表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（按报告顺序）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9"/>
        <w:gridCol w:w="848"/>
        <w:gridCol w:w="3561"/>
        <w:gridCol w:w="21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  <w:jc w:val="center"/>
        </w:trPr>
        <w:tc>
          <w:tcPr>
            <w:tcW w:w="25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项  目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负责单位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7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1.本科教育基本情况</w:t>
            </w: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1.1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本科人才培养目标及服务面向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发规处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1.2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本科专业设置情况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1.3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全日制在校生情况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1.4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本科生源质量情况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7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2.师资与教学条件</w:t>
            </w: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2.1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师资队伍数量与结构（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含生师比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人事处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2.2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本科生主讲教师情况/教授承担本科课程情况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2.3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教学经费投入情况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财务处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2.4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教学用房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后管处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图书资源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图书馆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2.6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实验室与设备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实验室与设备管理中心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资产处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信息资源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网络中心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7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3.教学建设与改革</w:t>
            </w: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3.1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培养方案与专业建设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3.2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课程建设与开课情况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3.3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教学改革与教材建设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3.4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实践教学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3.5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3.6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毕业论文（设计）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3.7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学生创新创业教育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创新创业学院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3.8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对外合作办学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外事办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7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4.专业培养能力</w:t>
            </w: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4.1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立德树人落实机制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宣传部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4.2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应用型人才培养体系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4.3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人才培养主要成效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7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5.质量保障体系</w:t>
            </w: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5.1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学校人才培养中心地位落实情况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党政办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教学质量保障体系建设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5.3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教学日常监控及运行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5.4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本科教学基本状态主要数据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5.5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专业评估与认证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70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6.学生学习效果</w:t>
            </w: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6.1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学生学习满意度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学工处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6.2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本科生毕业情况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教务处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6.3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学生就业情况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学生处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6.4</w:t>
            </w: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用人单位对毕业生评价与毕业生成就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学生处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6.办学特色</w:t>
            </w: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eastAsia="zh-CN"/>
              </w:rPr>
              <w:t>发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规处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7.需要解决的问题</w:t>
            </w:r>
          </w:p>
        </w:tc>
        <w:tc>
          <w:tcPr>
            <w:tcW w:w="8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存在问题、产生原因、解决措施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各单位</w:t>
            </w:r>
          </w:p>
        </w:tc>
      </w:tr>
    </w:tbl>
    <w:p>
      <w:pPr>
        <w:autoSpaceDE w:val="0"/>
        <w:spacing w:line="280" w:lineRule="exact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18"/>
          <w:szCs w:val="18"/>
        </w:rPr>
        <w:t xml:space="preserve"> 说明：</w:t>
      </w:r>
      <w:r>
        <w:rPr>
          <w:rFonts w:hint="eastAsia" w:ascii="宋体" w:hAnsi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/>
          <w:color w:val="000000"/>
          <w:kern w:val="0"/>
          <w:sz w:val="18"/>
          <w:szCs w:val="18"/>
        </w:rPr>
        <w:t xml:space="preserve">    1.各单位要在充分分析和认真总结提炼的基础上，紧扣本科教学工作，分析教学基本状态，突出教学改革亮点、成就和经验，准确地把握存在问题，实事求是撰写质量年度报告，全面展示本科教学质量和人才培养状况。</w:t>
      </w:r>
      <w:r>
        <w:rPr>
          <w:rFonts w:hint="eastAsia" w:ascii="宋体" w:hAnsi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/>
          <w:color w:val="000000"/>
          <w:kern w:val="0"/>
          <w:sz w:val="18"/>
          <w:szCs w:val="18"/>
        </w:rPr>
        <w:t xml:space="preserve">    2.请各单位务必于</w:t>
      </w:r>
      <w:r>
        <w:rPr>
          <w:rStyle w:val="7"/>
          <w:rFonts w:hint="default" w:ascii="宋体"/>
          <w:b/>
          <w:bCs/>
          <w:sz w:val="18"/>
          <w:szCs w:val="18"/>
        </w:rPr>
        <w:t xml:space="preserve"> </w:t>
      </w:r>
      <w:r>
        <w:rPr>
          <w:rStyle w:val="7"/>
          <w:rFonts w:hint="eastAsia" w:ascii="宋体" w:eastAsia="黑体"/>
          <w:b/>
          <w:bCs/>
          <w:sz w:val="18"/>
          <w:szCs w:val="18"/>
          <w:lang w:val="en-US" w:eastAsia="zh-CN"/>
        </w:rPr>
        <w:t>10</w:t>
      </w:r>
      <w:r>
        <w:rPr>
          <w:rStyle w:val="7"/>
          <w:rFonts w:hint="default" w:ascii="宋体"/>
          <w:b/>
          <w:bCs/>
          <w:sz w:val="18"/>
          <w:szCs w:val="18"/>
        </w:rPr>
        <w:t xml:space="preserve"> </w:t>
      </w:r>
      <w:r>
        <w:rPr>
          <w:rStyle w:val="8"/>
          <w:rFonts w:hint="default" w:ascii="宋体"/>
          <w:b/>
          <w:bCs/>
          <w:sz w:val="18"/>
          <w:szCs w:val="18"/>
        </w:rPr>
        <w:t>月</w:t>
      </w:r>
      <w:r>
        <w:rPr>
          <w:rStyle w:val="7"/>
          <w:rFonts w:hint="eastAsia" w:ascii="宋体" w:eastAsia="黑体"/>
          <w:b/>
          <w:bCs/>
          <w:sz w:val="18"/>
          <w:szCs w:val="18"/>
          <w:lang w:val="en-US" w:eastAsia="zh-CN"/>
        </w:rPr>
        <w:t>20</w:t>
      </w:r>
      <w:r>
        <w:rPr>
          <w:rStyle w:val="7"/>
          <w:rFonts w:hint="default" w:ascii="宋体"/>
          <w:b/>
          <w:bCs/>
          <w:sz w:val="18"/>
          <w:szCs w:val="18"/>
        </w:rPr>
        <w:t xml:space="preserve"> </w:t>
      </w:r>
      <w:r>
        <w:rPr>
          <w:rStyle w:val="8"/>
          <w:rFonts w:hint="default" w:ascii="宋体"/>
          <w:b/>
          <w:bCs/>
          <w:sz w:val="18"/>
          <w:szCs w:val="18"/>
        </w:rPr>
        <w:t>日</w:t>
      </w:r>
      <w:r>
        <w:rPr>
          <w:rStyle w:val="8"/>
          <w:rFonts w:hint="default" w:ascii="宋体"/>
          <w:sz w:val="18"/>
          <w:szCs w:val="18"/>
        </w:rPr>
        <w:t>前将任务分解表中所属材料汇总至教务处，纸质材料盖章送教务处</w:t>
      </w:r>
      <w:r>
        <w:rPr>
          <w:rStyle w:val="8"/>
          <w:rFonts w:hint="eastAsia" w:ascii="宋体" w:eastAsia="黑体"/>
          <w:sz w:val="18"/>
          <w:szCs w:val="18"/>
          <w:lang w:val="en-US" w:eastAsia="zh-CN"/>
        </w:rPr>
        <w:t>（行政楼306室）</w:t>
      </w:r>
      <w:r>
        <w:rPr>
          <w:rStyle w:val="8"/>
          <w:rFonts w:hint="default" w:ascii="宋体"/>
          <w:sz w:val="18"/>
          <w:szCs w:val="18"/>
        </w:rPr>
        <w:t>。</w:t>
      </w: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附件3</w:t>
      </w:r>
    </w:p>
    <w:p>
      <w:pPr>
        <w:spacing w:line="600" w:lineRule="exact"/>
        <w:jc w:val="center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教学质量报告支撑数据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表（按报告顺序）</w:t>
      </w:r>
    </w:p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2"/>
        <w:gridCol w:w="5158"/>
        <w:gridCol w:w="1347"/>
        <w:gridCol w:w="13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项  目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责任人及部门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</w:rPr>
              <w:t>数据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本科生占全日制在校生总数的比例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教务处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教师数量及结构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人事处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当年本科招生专业总数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教务处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4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生师比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人事处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5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生均教学科研仪器设备值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资产处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6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当年新增教学科研仪器设备值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资产处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7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生均图书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图书馆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8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电子图书、电子期刊总数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图书馆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9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生均教学行政用房，其中生均实验室面积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后勤处/实验室管理中心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10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生均本科教学日常运行支出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财务处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11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本科专项教学经费（自然年度内学校立项用于本科教学改革和建设的专项经费总额）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财务处/教务处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12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生均本科实验经费（自然年度内学校用于实验教学运行、维护经费生均值）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财务处/实验室管理中心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13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生均本科实习经费（自然年度内用于本科培养方案内的实习环节支出经费生均值）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财务处/教务处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14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全校开设课程总门数（学年度内实际开设的本科培养计划内课程总数，跨学期讲授的同一门课程计一门）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教务处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15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实践教学学分占总学分比例（可按学科门类）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教务处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16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选修课学分占总学分比例（可按学科门类）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教务处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17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主讲本科课程的教授占教授总数的比例（不含讲座）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教务处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18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教授授本科课程占课程总门次数的比例（一门课程的全部课时均由教授授课，计为1，由多名教师共同承担的，按教授实际承担学时比例计算）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教务处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19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应届本科生毕业率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教务处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20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应届本科生学位授予率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教务处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21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应届本科生初次就业率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学生处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22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体质测试达标率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体育学院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23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学生学习满意度（调查方法与结果）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学工处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24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用人单位对毕业生满意度（调查方法与结果）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学生处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25</w:t>
            </w:r>
          </w:p>
        </w:tc>
        <w:tc>
          <w:tcPr>
            <w:tcW w:w="5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其它与本科教学质量相关数据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E w:val="0"/>
              <w:spacing w:line="240" w:lineRule="exact"/>
              <w:jc w:val="left"/>
              <w:rPr>
                <w:rFonts w:ascii="宋体" w:hAnsi="宋体"/>
                <w:color w:val="000000"/>
              </w:rPr>
            </w:pPr>
          </w:p>
        </w:tc>
      </w:tr>
    </w:tbl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附件4</w:t>
      </w:r>
    </w:p>
    <w:p>
      <w:pPr>
        <w:spacing w:line="600" w:lineRule="exact"/>
        <w:jc w:val="center"/>
        <w:rPr>
          <w:rFonts w:hint="eastAsia" w:ascii="宋体" w:hAnsi="宋体" w:cs="Times New Roman"/>
          <w:b/>
          <w:bCs/>
          <w:sz w:val="28"/>
          <w:szCs w:val="28"/>
          <w:lang w:eastAsia="zh-CN"/>
        </w:rPr>
      </w:pPr>
      <w:r>
        <w:rPr>
          <w:rFonts w:hint="eastAsia" w:ascii="宋体" w:hAnsi="宋体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Times New Roman"/>
          <w:b/>
          <w:bCs/>
          <w:sz w:val="28"/>
          <w:szCs w:val="28"/>
          <w:lang w:eastAsia="zh-CN"/>
        </w:rPr>
        <w:t>美育工作发展年度报告</w:t>
      </w:r>
      <w:bookmarkStart w:id="0" w:name="_Toc499804014"/>
      <w:r>
        <w:rPr>
          <w:rFonts w:hint="eastAsia" w:ascii="宋体" w:hAnsi="宋体" w:cs="Times New Roman"/>
          <w:b/>
          <w:bCs/>
          <w:sz w:val="28"/>
          <w:szCs w:val="28"/>
          <w:lang w:eastAsia="zh-CN"/>
        </w:rPr>
        <w:t>任务分解（按报告顺序）</w:t>
      </w:r>
    </w:p>
    <w:p>
      <w:pPr>
        <w:jc w:val="center"/>
        <w:rPr>
          <w:rFonts w:hint="eastAsia" w:ascii="黑体" w:hAnsi="黑体" w:eastAsia="宋体"/>
          <w:b/>
          <w:color w:val="000000"/>
          <w:kern w:val="0"/>
          <w:sz w:val="32"/>
          <w:szCs w:val="32"/>
          <w:lang w:eastAsia="zh-CN"/>
        </w:rPr>
      </w:pPr>
    </w:p>
    <w:p>
      <w:pPr>
        <w:spacing w:line="520" w:lineRule="exact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1" w:name="_Toc499883641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前言</w:t>
      </w:r>
      <w:bookmarkEnd w:id="0"/>
      <w:bookmarkEnd w:id="1"/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（教务处）</w:t>
      </w:r>
    </w:p>
    <w:p>
      <w:pPr>
        <w:spacing w:line="520" w:lineRule="exact"/>
        <w:rPr>
          <w:rFonts w:ascii="仿宋_GB2312" w:hAnsi="宋体" w:eastAsia="仿宋_GB2312"/>
          <w:b/>
          <w:bCs/>
          <w:color w:val="000000"/>
          <w:kern w:val="0"/>
          <w:sz w:val="24"/>
          <w:szCs w:val="24"/>
        </w:rPr>
      </w:pPr>
      <w:bookmarkStart w:id="2" w:name="_Toc499804015"/>
      <w:bookmarkStart w:id="3" w:name="_Toc499883642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2.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美育工作发展概况</w:t>
      </w:r>
      <w:bookmarkEnd w:id="2"/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及亮点工作</w:t>
      </w:r>
      <w:bookmarkEnd w:id="3"/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（教务处）</w:t>
      </w:r>
    </w:p>
    <w:p>
      <w:pPr>
        <w:spacing w:line="520" w:lineRule="exact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4" w:name="_Toc499883643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美育工作发展理念和定位</w:t>
      </w:r>
      <w:bookmarkEnd w:id="4"/>
    </w:p>
    <w:p>
      <w:pPr>
        <w:spacing w:line="520" w:lineRule="exact"/>
        <w:ind w:firstLine="480" w:firstLineChars="200"/>
        <w:rPr>
          <w:rFonts w:ascii="楷体" w:hAnsi="楷体" w:eastAsia="楷体" w:cs="楷体"/>
          <w:b/>
          <w:bCs/>
          <w:color w:val="000000"/>
          <w:kern w:val="0"/>
          <w:sz w:val="24"/>
          <w:szCs w:val="24"/>
        </w:rPr>
      </w:pPr>
      <w:bookmarkStart w:id="5" w:name="_Toc499883644"/>
      <w:bookmarkStart w:id="6" w:name="_Toc499804018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3.1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人才培养目标定位中的美育规格</w:t>
      </w:r>
      <w:bookmarkEnd w:id="5"/>
      <w:bookmarkEnd w:id="6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（教务处）</w:t>
      </w:r>
    </w:p>
    <w:p>
      <w:pPr>
        <w:spacing w:line="520" w:lineRule="exact"/>
        <w:ind w:firstLine="480" w:firstLineChars="200"/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</w:pPr>
      <w:bookmarkStart w:id="7" w:name="_Toc499804019"/>
      <w:bookmarkStart w:id="8" w:name="_Toc499883645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3.2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十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eastAsia="zh-CN"/>
        </w:rPr>
        <w:t>四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五规划中美育</w:t>
      </w:r>
      <w:bookmarkEnd w:id="7"/>
      <w:bookmarkEnd w:id="8"/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发展战略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（发规处）</w:t>
      </w:r>
    </w:p>
    <w:p>
      <w:pPr>
        <w:spacing w:line="520" w:lineRule="exact"/>
        <w:ind w:firstLine="480" w:firstLineChars="200"/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</w:pPr>
      <w:bookmarkStart w:id="9" w:name="_Toc499883646"/>
      <w:bookmarkStart w:id="10" w:name="_Toc499804020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3.3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美育质量保障机制体系</w:t>
      </w:r>
      <w:bookmarkEnd w:id="9"/>
      <w:bookmarkEnd w:id="10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（教务处）</w:t>
      </w:r>
    </w:p>
    <w:p>
      <w:pPr>
        <w:spacing w:line="520" w:lineRule="exact"/>
        <w:ind w:firstLine="480" w:firstLineChars="200"/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</w:pPr>
      <w:bookmarkStart w:id="11" w:name="_Toc499804021"/>
      <w:bookmarkStart w:id="12" w:name="_Toc499883647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3.4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美育工作发展激励政策</w:t>
      </w:r>
      <w:bookmarkEnd w:id="11"/>
      <w:bookmarkEnd w:id="12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（发规处）</w:t>
      </w:r>
    </w:p>
    <w:p>
      <w:pPr>
        <w:spacing w:line="520" w:lineRule="exact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13" w:name="_Toc499883648"/>
      <w:bookmarkStart w:id="14" w:name="_Toc499804023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4.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美育工作发展条件</w:t>
      </w:r>
      <w:bookmarkEnd w:id="13"/>
      <w:bookmarkEnd w:id="14"/>
    </w:p>
    <w:p>
      <w:pPr>
        <w:spacing w:line="520" w:lineRule="exact"/>
        <w:ind w:firstLine="480" w:firstLineChars="200"/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</w:pPr>
      <w:bookmarkStart w:id="15" w:name="_Toc499804024"/>
      <w:bookmarkStart w:id="16" w:name="_Toc499883649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4.1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美育师资队伍建设与水平</w:t>
      </w:r>
      <w:bookmarkEnd w:id="15"/>
      <w:bookmarkEnd w:id="16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（人事处）</w:t>
      </w:r>
    </w:p>
    <w:p>
      <w:pPr>
        <w:spacing w:line="520" w:lineRule="exact"/>
        <w:ind w:firstLine="720" w:firstLineChars="300"/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</w:pPr>
      <w:bookmarkStart w:id="17" w:name="_Toc499804025"/>
      <w:bookmarkStart w:id="18" w:name="_Toc499883650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4.1.1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美育教师队伍的数量与结构</w:t>
      </w:r>
      <w:bookmarkEnd w:id="17"/>
      <w:bookmarkEnd w:id="18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（人事处）</w:t>
      </w:r>
    </w:p>
    <w:p>
      <w:pPr>
        <w:spacing w:line="520" w:lineRule="exact"/>
        <w:ind w:firstLine="720" w:firstLineChars="300"/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</w:pPr>
      <w:bookmarkStart w:id="19" w:name="_Toc499883651"/>
      <w:bookmarkStart w:id="20" w:name="_Toc499804026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4.1.2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美育教师的专业水平和教学能力</w:t>
      </w:r>
      <w:bookmarkEnd w:id="19"/>
      <w:bookmarkEnd w:id="20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（人事处）</w:t>
      </w:r>
    </w:p>
    <w:p>
      <w:pPr>
        <w:spacing w:line="520" w:lineRule="exact"/>
        <w:ind w:firstLine="480" w:firstLineChars="20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21" w:name="_Toc499883652"/>
      <w:bookmarkStart w:id="22" w:name="_Toc499804028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4.2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美育教学资源建设与水平</w:t>
      </w:r>
      <w:bookmarkEnd w:id="21"/>
      <w:bookmarkEnd w:id="22"/>
    </w:p>
    <w:p>
      <w:pPr>
        <w:spacing w:line="520" w:lineRule="exact"/>
        <w:ind w:firstLine="720" w:firstLineChars="30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23" w:name="_Toc499804029"/>
      <w:bookmarkStart w:id="24" w:name="_Toc499883653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4.2.</w:t>
      </w:r>
      <w:r>
        <w:rPr>
          <w:rFonts w:ascii="仿宋_GB2312" w:hAnsi="宋体" w:eastAsia="仿宋_GB2312"/>
          <w:color w:val="000000"/>
          <w:kern w:val="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美育教学经费投入及保障机制</w:t>
      </w:r>
      <w:bookmarkEnd w:id="23"/>
      <w:bookmarkEnd w:id="24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（财务处）</w:t>
      </w:r>
    </w:p>
    <w:p>
      <w:pPr>
        <w:spacing w:line="520" w:lineRule="exact"/>
        <w:ind w:firstLine="720" w:firstLineChars="30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25" w:name="_Toc499804030"/>
      <w:bookmarkStart w:id="26" w:name="_Toc499883654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4.2.</w:t>
      </w:r>
      <w:r>
        <w:rPr>
          <w:rFonts w:ascii="仿宋_GB2312" w:hAnsi="宋体" w:eastAsia="仿宋_GB2312"/>
          <w:color w:val="000000"/>
          <w:kern w:val="0"/>
          <w:sz w:val="24"/>
          <w:szCs w:val="24"/>
        </w:rPr>
        <w:t>2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美育教育教学资源</w:t>
      </w:r>
      <w:bookmarkEnd w:id="25"/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建设及共享</w:t>
      </w:r>
      <w:bookmarkEnd w:id="26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eastAsia="zh-CN"/>
        </w:rPr>
        <w:t>教科学院、音舞学院、美设学院、文传学院、体育学院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）</w:t>
      </w:r>
    </w:p>
    <w:p>
      <w:pPr>
        <w:spacing w:line="520" w:lineRule="exact"/>
        <w:ind w:firstLine="720" w:firstLineChars="30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27" w:name="_Toc499804031"/>
      <w:bookmarkStart w:id="28" w:name="_Toc499883655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4.2.</w:t>
      </w:r>
      <w:r>
        <w:rPr>
          <w:rFonts w:ascii="仿宋_GB2312" w:hAnsi="宋体" w:eastAsia="仿宋_GB2312"/>
          <w:color w:val="000000"/>
          <w:kern w:val="0"/>
          <w:sz w:val="24"/>
          <w:szCs w:val="24"/>
        </w:rPr>
        <w:t>3</w:t>
      </w:r>
      <w:bookmarkEnd w:id="27"/>
      <w:bookmarkStart w:id="29" w:name="_Toc499804032"/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美育网络资源、平台建设</w:t>
      </w:r>
      <w:bookmarkEnd w:id="28"/>
      <w:bookmarkEnd w:id="29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（团委、学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eastAsia="zh-CN"/>
        </w:rPr>
        <w:t>工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处、教务处）</w:t>
      </w:r>
    </w:p>
    <w:p>
      <w:pPr>
        <w:spacing w:line="520" w:lineRule="exact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30" w:name="_Toc499883656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5.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美育培养实施过程</w:t>
      </w:r>
      <w:bookmarkEnd w:id="30"/>
    </w:p>
    <w:p>
      <w:pPr>
        <w:spacing w:line="520" w:lineRule="exact"/>
        <w:ind w:firstLine="480" w:firstLineChars="20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31" w:name="_Toc499883657"/>
      <w:bookmarkStart w:id="32" w:name="_Toc499804034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5.1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美育课程体系建设</w:t>
      </w:r>
      <w:bookmarkEnd w:id="31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（教务处）</w:t>
      </w:r>
    </w:p>
    <w:p>
      <w:pPr>
        <w:spacing w:line="520" w:lineRule="exact"/>
        <w:ind w:firstLine="480" w:firstLineChars="20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33" w:name="_Toc499883658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5.2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美育课堂教学</w:t>
      </w:r>
      <w:bookmarkEnd w:id="32"/>
      <w:bookmarkEnd w:id="33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（教务处）</w:t>
      </w:r>
    </w:p>
    <w:p>
      <w:pPr>
        <w:spacing w:line="520" w:lineRule="exact"/>
        <w:ind w:firstLine="720" w:firstLineChars="30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34" w:name="_Toc499883659"/>
      <w:bookmarkStart w:id="35" w:name="_Toc499804035"/>
      <w:r>
        <w:rPr>
          <w:rFonts w:ascii="仿宋_GB2312" w:hAnsi="宋体" w:eastAsia="仿宋_GB2312"/>
          <w:color w:val="000000"/>
          <w:kern w:val="0"/>
          <w:sz w:val="24"/>
          <w:szCs w:val="24"/>
        </w:rPr>
        <w:t>1.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美育课程目标的制订</w:t>
      </w:r>
      <w:bookmarkEnd w:id="34"/>
      <w:bookmarkEnd w:id="35"/>
    </w:p>
    <w:p>
      <w:pPr>
        <w:spacing w:line="520" w:lineRule="exact"/>
        <w:ind w:firstLine="720" w:firstLineChars="30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36" w:name="_Toc499883660"/>
      <w:r>
        <w:rPr>
          <w:rFonts w:ascii="仿宋_GB2312" w:hAnsi="宋体" w:eastAsia="仿宋_GB2312"/>
          <w:color w:val="000000"/>
          <w:kern w:val="0"/>
          <w:sz w:val="24"/>
          <w:szCs w:val="24"/>
        </w:rPr>
        <w:t>2.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美育课程的设置及开足开齐</w:t>
      </w:r>
      <w:bookmarkEnd w:id="36"/>
    </w:p>
    <w:p>
      <w:pPr>
        <w:spacing w:line="520" w:lineRule="exact"/>
        <w:ind w:firstLine="720" w:firstLineChars="30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37" w:name="_Toc499804036"/>
      <w:bookmarkStart w:id="38" w:name="_Toc499883661"/>
      <w:r>
        <w:rPr>
          <w:rFonts w:ascii="仿宋_GB2312" w:hAnsi="宋体" w:eastAsia="仿宋_GB2312"/>
          <w:color w:val="000000"/>
          <w:kern w:val="0"/>
          <w:sz w:val="24"/>
          <w:szCs w:val="24"/>
        </w:rPr>
        <w:t>3.</w:t>
      </w:r>
      <w:bookmarkEnd w:id="37"/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美育课程培养方案的执行</w:t>
      </w:r>
      <w:bookmarkEnd w:id="38"/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及考试考核方式</w:t>
      </w:r>
    </w:p>
    <w:p>
      <w:pPr>
        <w:spacing w:line="520" w:lineRule="exact"/>
        <w:ind w:firstLine="480" w:firstLineChars="20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39" w:name="_Toc499883663"/>
      <w:bookmarkStart w:id="40" w:name="_Toc499804038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5.3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美育实践教学情况</w:t>
      </w:r>
      <w:bookmarkEnd w:id="39"/>
      <w:bookmarkEnd w:id="40"/>
    </w:p>
    <w:p>
      <w:pPr>
        <w:spacing w:line="520" w:lineRule="exact"/>
        <w:ind w:firstLine="600" w:firstLineChars="25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41" w:name="_Toc499883664"/>
      <w:bookmarkStart w:id="42" w:name="_Toc499804039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5.3.</w:t>
      </w:r>
      <w:r>
        <w:rPr>
          <w:rFonts w:ascii="仿宋_GB2312" w:hAnsi="宋体" w:eastAsia="仿宋_GB2312"/>
          <w:color w:val="000000"/>
          <w:kern w:val="0"/>
          <w:sz w:val="24"/>
          <w:szCs w:val="24"/>
        </w:rPr>
        <w:t>1.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美育实践活动的课程化管理</w:t>
      </w:r>
      <w:bookmarkEnd w:id="41"/>
      <w:bookmarkEnd w:id="42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（教务处）</w:t>
      </w:r>
    </w:p>
    <w:p>
      <w:pPr>
        <w:spacing w:line="520" w:lineRule="exact"/>
        <w:ind w:firstLine="600" w:firstLineChars="25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43" w:name="_Toc499804040"/>
      <w:bookmarkStart w:id="44" w:name="_Toc499883665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5.3.</w:t>
      </w:r>
      <w:r>
        <w:rPr>
          <w:rFonts w:ascii="仿宋_GB2312" w:hAnsi="宋体" w:eastAsia="仿宋_GB2312"/>
          <w:color w:val="000000"/>
          <w:kern w:val="0"/>
          <w:sz w:val="24"/>
          <w:szCs w:val="24"/>
        </w:rPr>
        <w:t>2.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美育实践基地</w:t>
      </w:r>
      <w:bookmarkEnd w:id="43"/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建设</w:t>
      </w:r>
      <w:bookmarkEnd w:id="44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（团委）</w:t>
      </w:r>
    </w:p>
    <w:p>
      <w:pPr>
        <w:spacing w:line="520" w:lineRule="exact"/>
        <w:ind w:firstLine="600" w:firstLineChars="25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45" w:name="_Toc499804041"/>
      <w:bookmarkStart w:id="46" w:name="_Toc499883666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5.3.</w:t>
      </w:r>
      <w:r>
        <w:rPr>
          <w:rFonts w:ascii="仿宋_GB2312" w:hAnsi="宋体" w:eastAsia="仿宋_GB2312"/>
          <w:color w:val="000000"/>
          <w:kern w:val="0"/>
          <w:sz w:val="24"/>
          <w:szCs w:val="24"/>
        </w:rPr>
        <w:t>3.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艺术教育内容与形式</w:t>
      </w:r>
      <w:bookmarkEnd w:id="45"/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的拓展、丰富以及创新</w:t>
      </w:r>
      <w:bookmarkEnd w:id="46"/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（含中外、闽台交流学习）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（团委、外事办）</w:t>
      </w:r>
    </w:p>
    <w:p>
      <w:pPr>
        <w:spacing w:line="520" w:lineRule="exact"/>
        <w:ind w:firstLine="480" w:firstLineChars="20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47" w:name="_Toc499883668"/>
      <w:bookmarkStart w:id="48" w:name="_Toc499804044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5.4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美育与其他学科的渗透与融合</w:t>
      </w:r>
      <w:bookmarkEnd w:id="47"/>
      <w:bookmarkEnd w:id="48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（教务处）</w:t>
      </w:r>
    </w:p>
    <w:p>
      <w:pPr>
        <w:spacing w:line="520" w:lineRule="exact"/>
        <w:ind w:firstLine="480" w:firstLineChars="20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49" w:name="_Toc499804045"/>
      <w:bookmarkStart w:id="50" w:name="_Toc499883669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5.5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校园文化环境的营造</w:t>
      </w:r>
      <w:bookmarkEnd w:id="49"/>
      <w:bookmarkEnd w:id="50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（宣传部）</w:t>
      </w:r>
    </w:p>
    <w:p>
      <w:pPr>
        <w:spacing w:line="520" w:lineRule="exact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51" w:name="_Toc499804046"/>
      <w:bookmarkStart w:id="52" w:name="_Toc499883670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6.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美育工作产出效果</w:t>
      </w:r>
      <w:bookmarkEnd w:id="51"/>
      <w:bookmarkEnd w:id="52"/>
    </w:p>
    <w:p>
      <w:pPr>
        <w:spacing w:line="520" w:lineRule="exact"/>
        <w:ind w:firstLine="480" w:firstLineChars="20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53" w:name="_Toc499883671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6.1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重大活动及影响力</w:t>
      </w:r>
      <w:bookmarkEnd w:id="53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（团委）</w:t>
      </w:r>
    </w:p>
    <w:p>
      <w:pPr>
        <w:spacing w:line="520" w:lineRule="exact"/>
        <w:ind w:firstLine="480" w:firstLineChars="200"/>
        <w:rPr>
          <w:rFonts w:ascii="仿宋_GB2312" w:hAnsi="宋体" w:eastAsia="仿宋_GB2312"/>
          <w:color w:val="000000"/>
          <w:kern w:val="0"/>
          <w:sz w:val="24"/>
          <w:szCs w:val="24"/>
        </w:rPr>
      </w:pPr>
      <w:bookmarkStart w:id="54" w:name="_Toc499883672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6.2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美育科研教研数量及影响力</w:t>
      </w:r>
      <w:bookmarkEnd w:id="54"/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</w:rPr>
        <w:t>（科研处）</w:t>
      </w:r>
    </w:p>
    <w:p>
      <w:pPr>
        <w:spacing w:line="520" w:lineRule="exact"/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</w:pPr>
      <w:bookmarkStart w:id="55" w:name="_Toc499804049"/>
      <w:bookmarkStart w:id="56" w:name="_Toc499883673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7.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本校特色案例</w:t>
      </w:r>
      <w:bookmarkEnd w:id="55"/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、特色举措</w:t>
      </w:r>
      <w:bookmarkEnd w:id="56"/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（文传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、美设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、音舞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教科学院、体育学院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校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团委）</w:t>
      </w:r>
    </w:p>
    <w:p>
      <w:pPr>
        <w:spacing w:line="520" w:lineRule="exact"/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</w:pPr>
      <w:bookmarkStart w:id="57" w:name="_Toc499804050"/>
      <w:bookmarkStart w:id="58" w:name="_Toc499883674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8</w:t>
      </w:r>
      <w:bookmarkEnd w:id="57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存在问题</w:t>
      </w:r>
      <w:bookmarkEnd w:id="58"/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（文传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、美设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、音舞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教科学院、体育学院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校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团委）</w:t>
      </w:r>
    </w:p>
    <w:p>
      <w:pPr>
        <w:spacing w:line="520" w:lineRule="exact"/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</w:pPr>
      <w:bookmarkStart w:id="59" w:name="_Toc499883675"/>
      <w:bookmarkStart w:id="60" w:name="_Toc499804051"/>
      <w:r>
        <w:rPr>
          <w:rFonts w:hint="eastAsia" w:ascii="仿宋_GB2312" w:hAnsi="宋体" w:eastAsia="仿宋_GB2312"/>
          <w:color w:val="000000"/>
          <w:kern w:val="0"/>
          <w:sz w:val="24"/>
          <w:szCs w:val="24"/>
          <w:lang w:val="en-US" w:eastAsia="zh-CN"/>
        </w:rPr>
        <w:t>9.</w:t>
      </w:r>
      <w:r>
        <w:rPr>
          <w:rFonts w:hint="eastAsia" w:ascii="仿宋_GB2312" w:hAnsi="宋体" w:eastAsia="仿宋_GB2312"/>
          <w:color w:val="000000"/>
          <w:kern w:val="0"/>
          <w:sz w:val="24"/>
          <w:szCs w:val="24"/>
        </w:rPr>
        <w:t>对策建议</w:t>
      </w:r>
      <w:bookmarkEnd w:id="59"/>
      <w:bookmarkEnd w:id="60"/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（文传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、美设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、音舞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学院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教科学院、体育学院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、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  <w:lang w:eastAsia="zh-CN"/>
        </w:rPr>
        <w:t>校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24"/>
          <w:szCs w:val="24"/>
        </w:rPr>
        <w:t>团委）</w:t>
      </w:r>
    </w:p>
    <w:p>
      <w:pPr>
        <w:spacing w:line="520" w:lineRule="exact"/>
        <w:rPr>
          <w:rFonts w:ascii="仿宋_GB2312" w:hAnsi="宋体" w:eastAsia="仿宋_GB2312"/>
          <w:b/>
          <w:bCs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 w:ascii="宋体" w:hAnsi="宋体"/>
          <w:b/>
          <w:color w:val="000000"/>
          <w:kern w:val="0"/>
          <w:sz w:val="36"/>
          <w:szCs w:val="36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宋体" w:eastAsia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宋体" w:hAnsi="宋体"/>
          <w:b/>
          <w:color w:val="000000"/>
          <w:kern w:val="0"/>
          <w:sz w:val="36"/>
          <w:szCs w:val="36"/>
          <w:lang w:eastAsia="zh-CN"/>
        </w:rPr>
        <w:t>美育工作</w:t>
      </w:r>
      <w:r>
        <w:rPr>
          <w:rFonts w:hint="eastAsia" w:ascii="宋体" w:hAnsi="宋体"/>
          <w:b/>
          <w:color w:val="000000"/>
          <w:kern w:val="0"/>
          <w:sz w:val="36"/>
          <w:szCs w:val="36"/>
        </w:rPr>
        <w:t>数据采集表任务分解</w:t>
      </w:r>
      <w:r>
        <w:rPr>
          <w:rFonts w:hint="eastAsia" w:ascii="宋体" w:hAnsi="宋体"/>
          <w:b/>
          <w:color w:val="000000"/>
          <w:kern w:val="0"/>
          <w:sz w:val="36"/>
          <w:szCs w:val="36"/>
          <w:lang w:eastAsia="zh-CN"/>
        </w:rPr>
        <w:t>（按部门）</w:t>
      </w:r>
    </w:p>
    <w:tbl>
      <w:tblPr>
        <w:tblStyle w:val="4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2488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Header/>
          <w:jc w:val="center"/>
        </w:trPr>
        <w:tc>
          <w:tcPr>
            <w:tcW w:w="29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表格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填写部门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0基础信息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教务处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公共美育管理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教务处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29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公共美育选修课程开设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教务处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9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公共美育网络课程建设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教务处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4公共美育教育经费投入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财务处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经费投入与比例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学生处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购买教学用服装、学生美育活动经费支出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校团委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购买教学用服装、学生美育活动经费支出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教务处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教室改造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后勤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处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设施建设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人事处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人才引进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5公共教学设施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教务处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</w:rPr>
              <w:t>公共艺术课程专用教室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</w:rPr>
              <w:t>音舞学院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</w:rPr>
              <w:t>艺术演播厅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</w:rPr>
              <w:t>文传学院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</w:rPr>
              <w:t>教科学院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舞蹈厅、特教活动厅等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美设学院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美术馆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体育学院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体育练功厅等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校团委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其</w:t>
            </w:r>
            <w:r>
              <w:rPr>
                <w:rFonts w:hint="eastAsia" w:ascii="宋体" w:cs="宋体"/>
                <w:color w:val="000000"/>
                <w:sz w:val="21"/>
                <w:szCs w:val="21"/>
              </w:rPr>
              <w:t>他固定艺术场馆设施名称</w:t>
            </w:r>
            <w:r>
              <w:rPr>
                <w:rFonts w:hint="eastAsia" w:ascii="宋体" w:cs="宋体"/>
                <w:color w:val="000000"/>
                <w:sz w:val="21"/>
                <w:szCs w:val="21"/>
                <w:lang w:eastAsia="zh-CN"/>
              </w:rPr>
              <w:t>（孙中山广场等）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6学校艺术团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校团委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2971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7公共美育活动举办情况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校团委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8重点美育活动参与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校团委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教务处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9.国内外公共美育相关交流活动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外事办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校团委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exact"/>
          <w:jc w:val="center"/>
        </w:trPr>
        <w:tc>
          <w:tcPr>
            <w:tcW w:w="2971" w:type="dxa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10.公共美育工作及建设成效</w:t>
            </w: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校团委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文传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学院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美设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学院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bidi="ar"/>
              </w:rPr>
              <w:t>音舞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学院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教科学院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971" w:type="dxa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  <w:tc>
          <w:tcPr>
            <w:tcW w:w="2488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 w:bidi="ar"/>
              </w:rPr>
              <w:t>体育学院</w:t>
            </w:r>
          </w:p>
        </w:tc>
        <w:tc>
          <w:tcPr>
            <w:tcW w:w="2479" w:type="dxa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spacing w:line="6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spacing w:line="600" w:lineRule="exact"/>
        <w:jc w:val="both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eastAsia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47BB2"/>
    <w:rsid w:val="001A4DF2"/>
    <w:rsid w:val="015B4EFF"/>
    <w:rsid w:val="016A67E9"/>
    <w:rsid w:val="016E2ABD"/>
    <w:rsid w:val="01AB7A4C"/>
    <w:rsid w:val="01B22D80"/>
    <w:rsid w:val="021F2017"/>
    <w:rsid w:val="03C129F2"/>
    <w:rsid w:val="047E7E29"/>
    <w:rsid w:val="0535066F"/>
    <w:rsid w:val="063C61C1"/>
    <w:rsid w:val="068C2B08"/>
    <w:rsid w:val="06AE25A5"/>
    <w:rsid w:val="07360507"/>
    <w:rsid w:val="08424FFA"/>
    <w:rsid w:val="085350B7"/>
    <w:rsid w:val="090218E1"/>
    <w:rsid w:val="09646DE9"/>
    <w:rsid w:val="0A014D02"/>
    <w:rsid w:val="0A290582"/>
    <w:rsid w:val="0A3F4919"/>
    <w:rsid w:val="0ACE5B81"/>
    <w:rsid w:val="0B0F4C83"/>
    <w:rsid w:val="0C6C0346"/>
    <w:rsid w:val="0CD63E62"/>
    <w:rsid w:val="0CFE786F"/>
    <w:rsid w:val="0D660458"/>
    <w:rsid w:val="0E0C1170"/>
    <w:rsid w:val="0E795F9D"/>
    <w:rsid w:val="0E9432C8"/>
    <w:rsid w:val="0EB63D08"/>
    <w:rsid w:val="0EE855EC"/>
    <w:rsid w:val="0F4D25D5"/>
    <w:rsid w:val="0FA771EC"/>
    <w:rsid w:val="109F2183"/>
    <w:rsid w:val="11A133F1"/>
    <w:rsid w:val="126A486A"/>
    <w:rsid w:val="130328AF"/>
    <w:rsid w:val="1312131D"/>
    <w:rsid w:val="13185448"/>
    <w:rsid w:val="13312AFE"/>
    <w:rsid w:val="13601611"/>
    <w:rsid w:val="145807D1"/>
    <w:rsid w:val="14BB4F42"/>
    <w:rsid w:val="14CE5963"/>
    <w:rsid w:val="14DB1A38"/>
    <w:rsid w:val="14FF0EE6"/>
    <w:rsid w:val="15013962"/>
    <w:rsid w:val="161B2BC5"/>
    <w:rsid w:val="166615F7"/>
    <w:rsid w:val="179C5F8F"/>
    <w:rsid w:val="17BF6A89"/>
    <w:rsid w:val="17C472C5"/>
    <w:rsid w:val="18E92E75"/>
    <w:rsid w:val="19292287"/>
    <w:rsid w:val="19447D7F"/>
    <w:rsid w:val="19F76FEE"/>
    <w:rsid w:val="1A0F5A86"/>
    <w:rsid w:val="1A38336E"/>
    <w:rsid w:val="1B0A6D71"/>
    <w:rsid w:val="1B533EC0"/>
    <w:rsid w:val="1B8420FB"/>
    <w:rsid w:val="1BE0184B"/>
    <w:rsid w:val="1C4148E4"/>
    <w:rsid w:val="1CC93C08"/>
    <w:rsid w:val="1E055581"/>
    <w:rsid w:val="1F7829FC"/>
    <w:rsid w:val="1F8A27E6"/>
    <w:rsid w:val="2225667A"/>
    <w:rsid w:val="22D458FF"/>
    <w:rsid w:val="22D9171F"/>
    <w:rsid w:val="237905A5"/>
    <w:rsid w:val="24E24C56"/>
    <w:rsid w:val="25453ECA"/>
    <w:rsid w:val="25A044CB"/>
    <w:rsid w:val="25D464E6"/>
    <w:rsid w:val="25E6653F"/>
    <w:rsid w:val="266162EA"/>
    <w:rsid w:val="26CE00A3"/>
    <w:rsid w:val="26EF6A65"/>
    <w:rsid w:val="284E4720"/>
    <w:rsid w:val="298D1FAA"/>
    <w:rsid w:val="29CD2135"/>
    <w:rsid w:val="29FF305E"/>
    <w:rsid w:val="2A45754C"/>
    <w:rsid w:val="2A5E072E"/>
    <w:rsid w:val="2AA706B4"/>
    <w:rsid w:val="2AB8043B"/>
    <w:rsid w:val="2ACA7E05"/>
    <w:rsid w:val="2B151A1D"/>
    <w:rsid w:val="2B4B046D"/>
    <w:rsid w:val="2B5968B4"/>
    <w:rsid w:val="2CAC4B49"/>
    <w:rsid w:val="2CDC1DDC"/>
    <w:rsid w:val="2E684FFA"/>
    <w:rsid w:val="2EB61DA8"/>
    <w:rsid w:val="2F055FE6"/>
    <w:rsid w:val="2F5D763E"/>
    <w:rsid w:val="2F6921FB"/>
    <w:rsid w:val="2FF066CB"/>
    <w:rsid w:val="303E47E5"/>
    <w:rsid w:val="30A0067D"/>
    <w:rsid w:val="30DF0686"/>
    <w:rsid w:val="31032F4E"/>
    <w:rsid w:val="312741C8"/>
    <w:rsid w:val="31FB047F"/>
    <w:rsid w:val="328A39D3"/>
    <w:rsid w:val="32DB2802"/>
    <w:rsid w:val="32F25C40"/>
    <w:rsid w:val="3351091C"/>
    <w:rsid w:val="34BB4F7B"/>
    <w:rsid w:val="34F85A09"/>
    <w:rsid w:val="36076A54"/>
    <w:rsid w:val="36365E7A"/>
    <w:rsid w:val="364378F4"/>
    <w:rsid w:val="36CA795E"/>
    <w:rsid w:val="36E27EAD"/>
    <w:rsid w:val="370277CF"/>
    <w:rsid w:val="38557607"/>
    <w:rsid w:val="390510CC"/>
    <w:rsid w:val="39094230"/>
    <w:rsid w:val="39417F5C"/>
    <w:rsid w:val="3A3915A9"/>
    <w:rsid w:val="3A8B449B"/>
    <w:rsid w:val="3B7113F3"/>
    <w:rsid w:val="3BF11AA3"/>
    <w:rsid w:val="3C981101"/>
    <w:rsid w:val="3D5719DC"/>
    <w:rsid w:val="3DBB3667"/>
    <w:rsid w:val="3ECC3D52"/>
    <w:rsid w:val="3F27573B"/>
    <w:rsid w:val="3F5B1F73"/>
    <w:rsid w:val="3F993F9A"/>
    <w:rsid w:val="3FB468B7"/>
    <w:rsid w:val="3FD80D22"/>
    <w:rsid w:val="40264A81"/>
    <w:rsid w:val="40497FBA"/>
    <w:rsid w:val="40964470"/>
    <w:rsid w:val="40F53875"/>
    <w:rsid w:val="40F93C33"/>
    <w:rsid w:val="413D174B"/>
    <w:rsid w:val="41C74168"/>
    <w:rsid w:val="422008DE"/>
    <w:rsid w:val="42495FE5"/>
    <w:rsid w:val="42B62C07"/>
    <w:rsid w:val="43C11752"/>
    <w:rsid w:val="43EF342D"/>
    <w:rsid w:val="448B3377"/>
    <w:rsid w:val="466F2659"/>
    <w:rsid w:val="46907143"/>
    <w:rsid w:val="477117AB"/>
    <w:rsid w:val="47864A51"/>
    <w:rsid w:val="47C13BAF"/>
    <w:rsid w:val="495564E4"/>
    <w:rsid w:val="4A914BA7"/>
    <w:rsid w:val="4AEC5BE6"/>
    <w:rsid w:val="4B0726E6"/>
    <w:rsid w:val="4B516294"/>
    <w:rsid w:val="4D8B60B5"/>
    <w:rsid w:val="4E2C29EE"/>
    <w:rsid w:val="4E6720B8"/>
    <w:rsid w:val="4E704A7B"/>
    <w:rsid w:val="4EDF40B8"/>
    <w:rsid w:val="4F452B2E"/>
    <w:rsid w:val="4F461C2F"/>
    <w:rsid w:val="4FAD11F6"/>
    <w:rsid w:val="50004BB7"/>
    <w:rsid w:val="506F39E2"/>
    <w:rsid w:val="51C56BBD"/>
    <w:rsid w:val="520565DF"/>
    <w:rsid w:val="521D4022"/>
    <w:rsid w:val="522771BF"/>
    <w:rsid w:val="525D4814"/>
    <w:rsid w:val="52810AFC"/>
    <w:rsid w:val="52AB58FF"/>
    <w:rsid w:val="52D5238F"/>
    <w:rsid w:val="53F0008F"/>
    <w:rsid w:val="54017D35"/>
    <w:rsid w:val="540B00FB"/>
    <w:rsid w:val="54FD184E"/>
    <w:rsid w:val="5565400A"/>
    <w:rsid w:val="55A50ED5"/>
    <w:rsid w:val="583324E7"/>
    <w:rsid w:val="58FD60E7"/>
    <w:rsid w:val="59652BC0"/>
    <w:rsid w:val="59995A23"/>
    <w:rsid w:val="59AF1CF3"/>
    <w:rsid w:val="59CF5801"/>
    <w:rsid w:val="5A520A86"/>
    <w:rsid w:val="5A8178B7"/>
    <w:rsid w:val="5AE11BD5"/>
    <w:rsid w:val="5B47266A"/>
    <w:rsid w:val="5BCD6715"/>
    <w:rsid w:val="5C067598"/>
    <w:rsid w:val="5C4D4EBD"/>
    <w:rsid w:val="5D2408BC"/>
    <w:rsid w:val="5D887056"/>
    <w:rsid w:val="5E103E61"/>
    <w:rsid w:val="5E592FF0"/>
    <w:rsid w:val="5FC41B6F"/>
    <w:rsid w:val="5FF00E35"/>
    <w:rsid w:val="61181997"/>
    <w:rsid w:val="629539AB"/>
    <w:rsid w:val="63C309B1"/>
    <w:rsid w:val="647A31EB"/>
    <w:rsid w:val="64852CAD"/>
    <w:rsid w:val="658B6033"/>
    <w:rsid w:val="65A96025"/>
    <w:rsid w:val="65B53B92"/>
    <w:rsid w:val="65F452B3"/>
    <w:rsid w:val="66213F26"/>
    <w:rsid w:val="66F509D0"/>
    <w:rsid w:val="66F844EC"/>
    <w:rsid w:val="67712352"/>
    <w:rsid w:val="67A9222E"/>
    <w:rsid w:val="67E40EF7"/>
    <w:rsid w:val="68847136"/>
    <w:rsid w:val="68A842DC"/>
    <w:rsid w:val="69551037"/>
    <w:rsid w:val="69FA6949"/>
    <w:rsid w:val="6AC912A1"/>
    <w:rsid w:val="6B00342D"/>
    <w:rsid w:val="6B04028D"/>
    <w:rsid w:val="6B281DC7"/>
    <w:rsid w:val="6B6112AF"/>
    <w:rsid w:val="6C3A21AB"/>
    <w:rsid w:val="6CBC7735"/>
    <w:rsid w:val="6CDE358F"/>
    <w:rsid w:val="6DEB604D"/>
    <w:rsid w:val="6E8A4423"/>
    <w:rsid w:val="6F153D41"/>
    <w:rsid w:val="6F4B1099"/>
    <w:rsid w:val="6F602961"/>
    <w:rsid w:val="6FC16FEE"/>
    <w:rsid w:val="70372047"/>
    <w:rsid w:val="70A258D1"/>
    <w:rsid w:val="71CA3DB2"/>
    <w:rsid w:val="71DD5213"/>
    <w:rsid w:val="72176036"/>
    <w:rsid w:val="75D731F6"/>
    <w:rsid w:val="765959F7"/>
    <w:rsid w:val="768550CA"/>
    <w:rsid w:val="769C7A28"/>
    <w:rsid w:val="79AF0AC1"/>
    <w:rsid w:val="7A4D43A4"/>
    <w:rsid w:val="7B71512A"/>
    <w:rsid w:val="7B7C5D69"/>
    <w:rsid w:val="7BCB4AE9"/>
    <w:rsid w:val="7ED61773"/>
    <w:rsid w:val="7FC47BB2"/>
    <w:rsid w:val="7FF0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17"/>
    <w:basedOn w:val="5"/>
    <w:qFormat/>
    <w:uiPriority w:val="0"/>
    <w:rPr>
      <w:rFonts w:hint="eastAsia" w:ascii="黑体" w:hAnsi="宋体" w:eastAsia="黑体"/>
      <w:color w:val="000000"/>
      <w:sz w:val="24"/>
      <w:szCs w:val="24"/>
      <w:u w:val="single"/>
    </w:rPr>
  </w:style>
  <w:style w:type="character" w:customStyle="1" w:styleId="8">
    <w:name w:val="16"/>
    <w:basedOn w:val="5"/>
    <w:qFormat/>
    <w:uiPriority w:val="0"/>
    <w:rPr>
      <w:rFonts w:hint="eastAsia" w:ascii="黑体" w:hAnsi="宋体" w:eastAsia="黑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2020-10-11T02:41:00Z</dcterms:created>
  <dc:creator>教务处</dc:creator>
  <cp:lastModifiedBy>陈欣</cp:lastModifiedBy>
  <dcterms:modified xsi:type="dcterms:W3CDTF">2021-10-12T10:16:43Z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B9D4E3141CD147FDB9901D94D8569D2B</vt:lpwstr>
  </property>
</Properties>
</file>